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083A3">
      <w:pPr>
        <w:autoSpaceDE/>
        <w:autoSpaceDN/>
        <w:spacing w:line="560" w:lineRule="exact"/>
        <w:ind w:right="248"/>
        <w:jc w:val="center"/>
        <w:outlineLvl w:val="0"/>
        <w:rPr>
          <w:rFonts w:hint="eastAsia" w:ascii="方正小标宋简体" w:hAnsi="方正小标宋简体" w:eastAsia="方正小标宋简体" w:cs="方正小标宋简体"/>
          <w:spacing w:val="19"/>
          <w:sz w:val="44"/>
          <w:szCs w:val="44"/>
          <w:lang w:eastAsia="zh-CN"/>
        </w:rPr>
      </w:pPr>
      <w:r>
        <w:rPr>
          <w:rFonts w:hint="eastAsia" w:ascii="方正小标宋简体" w:hAnsi="方正小标宋简体" w:eastAsia="方正小标宋简体" w:cs="方正小标宋简体"/>
          <w:spacing w:val="19"/>
          <w:sz w:val="44"/>
          <w:szCs w:val="44"/>
          <w:lang w:eastAsia="zh-CN"/>
        </w:rPr>
        <w:t>临床检验新技术创新基金(第二批)项目</w:t>
      </w:r>
    </w:p>
    <w:p w14:paraId="60B75221">
      <w:pPr>
        <w:autoSpaceDE/>
        <w:autoSpaceDN/>
        <w:spacing w:after="360" w:afterLines="150" w:line="560" w:lineRule="exact"/>
        <w:ind w:left="3323" w:right="249" w:hanging="3130"/>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6"/>
          <w:sz w:val="44"/>
          <w:szCs w:val="44"/>
          <w:lang w:eastAsia="zh-CN"/>
        </w:rPr>
        <w:t>课题指南</w:t>
      </w:r>
    </w:p>
    <w:p w14:paraId="4F2C3DAE">
      <w:pPr>
        <w:pStyle w:val="3"/>
        <w:spacing w:before="120" w:line="560" w:lineRule="exact"/>
        <w:ind w:right="17"/>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202507001 高通量核酸快检系统在儿童门急诊应用规范化多中心研究</w:t>
      </w:r>
    </w:p>
    <w:p w14:paraId="50488BB9">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一、领域：</w:t>
      </w:r>
      <w:r>
        <w:rPr>
          <w:rFonts w:hint="eastAsia" w:ascii="仿宋_GB2312" w:hAnsi="仿宋_GB2312" w:eastAsia="仿宋_GB2312" w:cs="仿宋_GB2312"/>
          <w:spacing w:val="8"/>
          <w:sz w:val="32"/>
          <w:szCs w:val="32"/>
          <w:lang w:eastAsia="zh-CN"/>
        </w:rPr>
        <w:t>分子</w:t>
      </w:r>
      <w:r>
        <w:rPr>
          <w:rFonts w:hint="eastAsia" w:ascii="仿宋_GB2312" w:hAnsi="仿宋_GB2312" w:eastAsia="仿宋_GB2312" w:cs="仿宋_GB2312"/>
          <w:spacing w:val="8"/>
          <w:sz w:val="32"/>
          <w:szCs w:val="32"/>
          <w:lang w:val="en-US" w:eastAsia="zh-CN"/>
        </w:rPr>
        <w:t>快检</w:t>
      </w:r>
    </w:p>
    <w:p w14:paraId="0A251C3D">
      <w:pPr>
        <w:pStyle w:val="3"/>
        <w:spacing w:before="47" w:line="560" w:lineRule="exact"/>
        <w:ind w:right="19"/>
        <w:jc w:val="both"/>
        <w:rPr>
          <w:rFonts w:hint="eastAsia" w:ascii="黑体" w:hAnsi="黑体" w:eastAsia="黑体" w:cs="黑体"/>
          <w:b w:val="0"/>
          <w:bCs/>
          <w:spacing w:val="8"/>
          <w:sz w:val="32"/>
          <w:szCs w:val="32"/>
          <w:lang w:eastAsia="zh-CN"/>
        </w:rPr>
      </w:pPr>
      <w:r>
        <w:rPr>
          <w:rFonts w:hint="eastAsia" w:ascii="黑体" w:hAnsi="黑体" w:eastAsia="黑体" w:cs="黑体"/>
          <w:b w:val="0"/>
          <w:bCs/>
          <w:spacing w:val="8"/>
          <w:sz w:val="32"/>
          <w:szCs w:val="32"/>
          <w:lang w:eastAsia="zh-CN"/>
        </w:rPr>
        <w:t>二、主要研究内容</w:t>
      </w:r>
    </w:p>
    <w:p w14:paraId="739ED56C">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建立一套适用于儿童门急诊的全面高通量核酸快检系统评估体系，该体系能够从分析性能、临床性能、防污染、检测效率、易用性等多个维度来定义高通量核酸快检系统，从而指导各个厂家能够开发出高性能、高效、安全的高通量核酸检测系统，同时也需建立一套医院端的验证体系，为医院选择合适的高通量核酸检测系统提供指导依据。基于上述建立的体系对高通量核酸检测系统进行评价。</w:t>
      </w:r>
      <w:bookmarkStart w:id="0" w:name="_GoBack"/>
      <w:bookmarkEnd w:id="0"/>
    </w:p>
    <w:p w14:paraId="2F6E9169">
      <w:pPr>
        <w:pStyle w:val="3"/>
        <w:spacing w:before="47" w:line="560" w:lineRule="exact"/>
        <w:ind w:right="19"/>
        <w:jc w:val="both"/>
        <w:rPr>
          <w:rFonts w:hint="eastAsia" w:ascii="黑体" w:hAnsi="黑体" w:eastAsia="黑体" w:cs="黑体"/>
          <w:b w:val="0"/>
          <w:bCs/>
          <w:spacing w:val="8"/>
          <w:sz w:val="32"/>
          <w:szCs w:val="32"/>
          <w:lang w:eastAsia="zh-CN"/>
        </w:rPr>
      </w:pPr>
      <w:r>
        <w:rPr>
          <w:rFonts w:hint="eastAsia" w:ascii="黑体" w:hAnsi="黑体" w:eastAsia="黑体" w:cs="黑体"/>
          <w:b w:val="0"/>
          <w:bCs/>
          <w:spacing w:val="8"/>
          <w:sz w:val="32"/>
          <w:szCs w:val="32"/>
          <w:lang w:eastAsia="zh-CN"/>
        </w:rPr>
        <w:t>三、项目考核指标（项目执行期内）</w:t>
      </w:r>
    </w:p>
    <w:p w14:paraId="3FCD48AE">
      <w:pPr>
        <w:pStyle w:val="3"/>
        <w:spacing w:before="47" w:line="560" w:lineRule="exact"/>
        <w:ind w:right="19" w:firstLine="504" w:firstLineChars="15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416A0564">
      <w:pPr>
        <w:pStyle w:val="3"/>
        <w:spacing w:before="47" w:line="560" w:lineRule="exact"/>
        <w:ind w:right="19" w:firstLine="504" w:firstLineChars="15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共同发表中文或SCI论文≥1篇；</w:t>
      </w:r>
    </w:p>
    <w:p w14:paraId="1B5DA06D">
      <w:pPr>
        <w:pStyle w:val="3"/>
        <w:spacing w:before="47" w:line="560" w:lineRule="exact"/>
        <w:ind w:right="19" w:firstLine="504" w:firstLineChars="15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421B527A">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参与该多中心研究的专家共同研讨建立高通量核酸快检系统的评估体系，形成专家共识，并对核酸检测设备进行全面系统的评估，形成</w:t>
      </w:r>
      <w:r>
        <w:rPr>
          <w:rFonts w:hint="eastAsia" w:ascii="仿宋_GB2312" w:hAnsi="仿宋_GB2312" w:eastAsia="仿宋_GB2312" w:cs="仿宋_GB2312"/>
          <w:spacing w:val="8"/>
          <w:sz w:val="32"/>
          <w:szCs w:val="32"/>
          <w:lang w:val="en-US" w:eastAsia="zh-CN"/>
        </w:rPr>
        <w:t>≥1份</w:t>
      </w:r>
      <w:r>
        <w:rPr>
          <w:rFonts w:hint="eastAsia" w:ascii="仿宋_GB2312" w:hAnsi="仿宋_GB2312" w:eastAsia="仿宋_GB2312" w:cs="仿宋_GB2312"/>
          <w:spacing w:val="8"/>
          <w:sz w:val="32"/>
          <w:szCs w:val="32"/>
          <w:lang w:eastAsia="zh-CN"/>
        </w:rPr>
        <w:t>评估报告。</w:t>
      </w:r>
    </w:p>
    <w:p w14:paraId="2D37E544">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54633E77">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五、资助金额：</w:t>
      </w:r>
      <w:r>
        <w:rPr>
          <w:rFonts w:hint="eastAsia" w:ascii="仿宋_GB2312" w:hAnsi="仿宋_GB2312" w:eastAsia="仿宋_GB2312" w:cs="仿宋_GB2312"/>
          <w:spacing w:val="8"/>
          <w:sz w:val="32"/>
          <w:szCs w:val="32"/>
          <w:lang w:eastAsia="zh-CN"/>
        </w:rPr>
        <w:t>不超过60万元（多中心临床研究，不超过6家单位，每家单位不超过</w:t>
      </w: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lang w:eastAsia="zh-CN"/>
        </w:rPr>
        <w:t>0万元）</w:t>
      </w:r>
    </w:p>
    <w:p w14:paraId="700FB815">
      <w:pPr>
        <w:pStyle w:val="3"/>
        <w:spacing w:before="47" w:line="560" w:lineRule="exact"/>
        <w:ind w:right="19"/>
        <w:jc w:val="both"/>
        <w:rPr>
          <w:rFonts w:hint="eastAsia" w:ascii="仿宋_GB2312" w:hAnsi="仿宋_GB2312" w:eastAsia="仿宋_GB2312" w:cs="仿宋_GB2312"/>
          <w:spacing w:val="8"/>
          <w:sz w:val="32"/>
          <w:szCs w:val="32"/>
          <w:lang w:eastAsia="zh-CN"/>
        </w:rPr>
      </w:pPr>
    </w:p>
    <w:p w14:paraId="171D4446">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3233C21C">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A14E7DD">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20DB1B21">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1FDCCE7A">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53345947">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0CBB77F4">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261592E">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1A240E0C">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56B854C">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5AF222B6">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3FFCFD78">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3A1F220">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C8AD847">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652991F8">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37A579AB">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686EAE1F">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202507002 基于机器学习探讨血液生化指标在儿童营养状况的评估作用</w:t>
      </w:r>
    </w:p>
    <w:p w14:paraId="7BAF3D78">
      <w:pPr>
        <w:spacing w:before="91" w:line="560" w:lineRule="exact"/>
        <w:ind w:right="248"/>
        <w:jc w:val="both"/>
        <w:outlineLvl w:val="0"/>
        <w:rPr>
          <w:rFonts w:hint="eastAsia" w:ascii="仿宋_GB2312" w:hAnsi="仿宋_GB2312" w:eastAsia="仿宋_GB2312" w:cs="仿宋_GB2312"/>
          <w:bCs/>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Cs/>
          <w:spacing w:val="8"/>
          <w:sz w:val="32"/>
          <w:szCs w:val="32"/>
          <w:lang w:eastAsia="zh-CN"/>
        </w:rPr>
        <w:t>机器学习、生化、儿童营养</w:t>
      </w:r>
    </w:p>
    <w:p w14:paraId="0CD62852">
      <w:pPr>
        <w:spacing w:before="91" w:line="560" w:lineRule="exact"/>
        <w:ind w:right="248"/>
        <w:jc w:val="both"/>
        <w:outlineLvl w:val="0"/>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0ED591DB">
      <w:pPr>
        <w:spacing w:before="91" w:line="560" w:lineRule="exact"/>
        <w:ind w:right="248" w:firstLine="672" w:firstLineChars="200"/>
        <w:jc w:val="both"/>
        <w:outlineLvl w:val="0"/>
        <w:rPr>
          <w:rFonts w:hint="eastAsia" w:ascii="仿宋_GB2312" w:hAnsi="仿宋_GB2312" w:eastAsia="仿宋_GB2312" w:cs="仿宋_GB2312"/>
          <w:bCs/>
          <w:spacing w:val="8"/>
          <w:sz w:val="32"/>
          <w:szCs w:val="32"/>
          <w:lang w:eastAsia="zh-CN"/>
        </w:rPr>
      </w:pPr>
      <w:r>
        <w:rPr>
          <w:rFonts w:hint="eastAsia" w:ascii="仿宋_GB2312" w:hAnsi="仿宋_GB2312" w:eastAsia="仿宋_GB2312" w:cs="仿宋_GB2312"/>
          <w:bCs/>
          <w:spacing w:val="8"/>
          <w:sz w:val="32"/>
          <w:szCs w:val="32"/>
          <w:lang w:eastAsia="zh-CN"/>
        </w:rPr>
        <w:t>随着社会经济的快速发展，人民物质水平日益提高，高热量、高脂、高糖等的食物过量摄入引起儿童超重肥胖问题日益凸显。开展血液中营养与代谢相关生化指标在预测儿童营养状况的相关研究。研究内容要覆盖尽量多的不同营养水平儿童受试者类型，可采用身体质量指数（BMI）协助分组;</w:t>
      </w:r>
    </w:p>
    <w:p w14:paraId="32493DA6">
      <w:pPr>
        <w:spacing w:before="91" w:line="560" w:lineRule="exact"/>
        <w:ind w:right="248"/>
        <w:jc w:val="both"/>
        <w:outlineLvl w:val="0"/>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3ECEE0E5">
      <w:pPr>
        <w:spacing w:before="91" w:line="560" w:lineRule="exact"/>
        <w:ind w:right="248" w:firstLine="672" w:firstLineChars="200"/>
        <w:jc w:val="both"/>
        <w:outlineLvl w:val="0"/>
        <w:rPr>
          <w:rFonts w:hint="eastAsia" w:ascii="仿宋_GB2312" w:hAnsi="仿宋_GB2312" w:eastAsia="仿宋_GB2312" w:cs="仿宋_GB2312"/>
          <w:bCs/>
          <w:spacing w:val="8"/>
          <w:sz w:val="32"/>
          <w:szCs w:val="32"/>
          <w:lang w:eastAsia="zh-CN"/>
        </w:rPr>
      </w:pPr>
      <w:r>
        <w:rPr>
          <w:rFonts w:hint="eastAsia" w:ascii="仿宋_GB2312" w:hAnsi="仿宋_GB2312" w:eastAsia="仿宋_GB2312" w:cs="仿宋_GB2312"/>
          <w:bCs/>
          <w:spacing w:val="8"/>
          <w:sz w:val="32"/>
          <w:szCs w:val="32"/>
          <w:lang w:eastAsia="zh-CN"/>
        </w:rPr>
        <w:t>（一）学术指标：</w:t>
      </w:r>
    </w:p>
    <w:p w14:paraId="219697FF">
      <w:pPr>
        <w:spacing w:before="91" w:line="560" w:lineRule="exact"/>
        <w:ind w:right="248" w:firstLine="672" w:firstLineChars="200"/>
        <w:jc w:val="both"/>
        <w:outlineLvl w:val="0"/>
        <w:rPr>
          <w:rFonts w:hint="eastAsia" w:ascii="仿宋_GB2312" w:hAnsi="仿宋_GB2312" w:eastAsia="仿宋_GB2312" w:cs="仿宋_GB2312"/>
          <w:bCs/>
          <w:spacing w:val="8"/>
          <w:sz w:val="32"/>
          <w:szCs w:val="32"/>
          <w:lang w:eastAsia="zh-CN"/>
        </w:rPr>
      </w:pPr>
      <w:r>
        <w:rPr>
          <w:rFonts w:hint="eastAsia" w:ascii="仿宋_GB2312" w:hAnsi="仿宋_GB2312" w:eastAsia="仿宋_GB2312" w:cs="仿宋_GB2312"/>
          <w:bCs/>
          <w:spacing w:val="8"/>
          <w:sz w:val="32"/>
          <w:szCs w:val="32"/>
          <w:lang w:eastAsia="zh-CN"/>
        </w:rPr>
        <w:t>共同发表中文或SCI论文≥1篇；</w:t>
      </w:r>
    </w:p>
    <w:p w14:paraId="2951CD35">
      <w:pPr>
        <w:spacing w:before="91" w:line="560" w:lineRule="exact"/>
        <w:ind w:right="248" w:firstLine="672" w:firstLineChars="200"/>
        <w:jc w:val="both"/>
        <w:outlineLvl w:val="0"/>
        <w:rPr>
          <w:rFonts w:hint="eastAsia" w:ascii="仿宋_GB2312" w:hAnsi="仿宋_GB2312" w:eastAsia="仿宋_GB2312" w:cs="仿宋_GB2312"/>
          <w:bCs/>
          <w:spacing w:val="8"/>
          <w:sz w:val="32"/>
          <w:szCs w:val="32"/>
          <w:lang w:eastAsia="zh-CN"/>
        </w:rPr>
      </w:pPr>
      <w:r>
        <w:rPr>
          <w:rFonts w:hint="eastAsia" w:ascii="仿宋_GB2312" w:hAnsi="仿宋_GB2312" w:eastAsia="仿宋_GB2312" w:cs="仿宋_GB2312"/>
          <w:bCs/>
          <w:spacing w:val="8"/>
          <w:sz w:val="32"/>
          <w:szCs w:val="32"/>
          <w:lang w:eastAsia="zh-CN"/>
        </w:rPr>
        <w:t>（二）技术指标：</w:t>
      </w:r>
    </w:p>
    <w:p w14:paraId="423A2D3D">
      <w:pPr>
        <w:spacing w:before="91" w:line="560" w:lineRule="exact"/>
        <w:ind w:right="248" w:firstLine="672" w:firstLineChars="200"/>
        <w:jc w:val="both"/>
        <w:outlineLvl w:val="0"/>
        <w:rPr>
          <w:rFonts w:hint="eastAsia" w:ascii="仿宋_GB2312" w:hAnsi="仿宋_GB2312" w:eastAsia="仿宋_GB2312" w:cs="仿宋_GB2312"/>
          <w:bCs/>
          <w:spacing w:val="8"/>
          <w:sz w:val="32"/>
          <w:szCs w:val="32"/>
          <w:lang w:eastAsia="zh-CN"/>
        </w:rPr>
      </w:pPr>
      <w:r>
        <w:rPr>
          <w:rFonts w:hint="eastAsia" w:ascii="仿宋_GB2312" w:hAnsi="仿宋_GB2312" w:eastAsia="仿宋_GB2312" w:cs="仿宋_GB2312"/>
          <w:bCs/>
          <w:spacing w:val="8"/>
          <w:sz w:val="32"/>
          <w:szCs w:val="32"/>
          <w:lang w:eastAsia="zh-CN"/>
        </w:rPr>
        <w:t>基于儿童的临床数据，包括临床一般资料、既往病史、血液生化指标等相关指标数据的研究，建立儿童早期营养不良诊断的最优机器学习算法模型，输出分析儿童生长发育过程中营养不良相关风险因素的评估报告≥1份。</w:t>
      </w:r>
    </w:p>
    <w:p w14:paraId="4CE665D6">
      <w:pPr>
        <w:spacing w:before="91" w:line="560" w:lineRule="exact"/>
        <w:ind w:right="248"/>
        <w:jc w:val="both"/>
        <w:outlineLvl w:val="0"/>
        <w:rPr>
          <w:rFonts w:hint="eastAsia" w:ascii="仿宋_GB2312" w:hAnsi="仿宋_GB2312" w:eastAsia="仿宋_GB2312" w:cs="仿宋_GB2312"/>
          <w:bCs/>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bCs/>
          <w:spacing w:val="8"/>
          <w:sz w:val="32"/>
          <w:szCs w:val="32"/>
          <w:lang w:eastAsia="zh-CN"/>
        </w:rPr>
        <w:t>不超过2年</w:t>
      </w:r>
    </w:p>
    <w:p w14:paraId="4715D7D1">
      <w:pPr>
        <w:spacing w:before="91" w:line="560" w:lineRule="exact"/>
        <w:ind w:right="248"/>
        <w:jc w:val="both"/>
        <w:outlineLvl w:val="0"/>
        <w:rPr>
          <w:rFonts w:hint="eastAsia" w:ascii="仿宋_GB2312" w:hAnsi="仿宋_GB2312" w:eastAsia="仿宋_GB2312" w:cs="仿宋_GB2312"/>
          <w:spacing w:val="19"/>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bCs/>
          <w:spacing w:val="8"/>
          <w:sz w:val="32"/>
          <w:szCs w:val="32"/>
          <w:lang w:eastAsia="zh-CN"/>
        </w:rPr>
        <w:t>不超过20万元（多中心临床研究，不超过10家单位，每家单位不超过2万元）</w:t>
      </w:r>
    </w:p>
    <w:p w14:paraId="4D05BB5E">
      <w:pPr>
        <w:pStyle w:val="3"/>
        <w:spacing w:before="47" w:line="560" w:lineRule="exact"/>
        <w:ind w:left="30" w:right="19"/>
        <w:jc w:val="center"/>
        <w:rPr>
          <w:rFonts w:hint="eastAsia" w:ascii="仿宋_GB2312" w:hAnsi="仿宋_GB2312" w:eastAsia="仿宋_GB2312" w:cs="仿宋_GB2312"/>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202507003 心脏标志物在不同分期慢性肾脏病患者心梗的诊断及预后中的临床应用价值研究</w:t>
      </w:r>
    </w:p>
    <w:p w14:paraId="3534A8DE">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一、领域：</w:t>
      </w:r>
      <w:r>
        <w:rPr>
          <w:rFonts w:hint="eastAsia" w:ascii="仿宋_GB2312" w:hAnsi="仿宋_GB2312" w:eastAsia="仿宋_GB2312" w:cs="仿宋_GB2312"/>
          <w:spacing w:val="8"/>
          <w:sz w:val="32"/>
          <w:szCs w:val="32"/>
          <w:lang w:eastAsia="zh-CN"/>
        </w:rPr>
        <w:t>心肾共病综合诊断</w:t>
      </w:r>
    </w:p>
    <w:p w14:paraId="403F09B7">
      <w:pPr>
        <w:pStyle w:val="3"/>
        <w:spacing w:before="47" w:line="560" w:lineRule="exact"/>
        <w:ind w:right="19"/>
        <w:jc w:val="both"/>
        <w:rPr>
          <w:rFonts w:hint="eastAsia" w:ascii="黑体" w:hAnsi="黑体" w:eastAsia="黑体" w:cs="黑体"/>
          <w:b w:val="0"/>
          <w:bCs/>
          <w:spacing w:val="8"/>
          <w:sz w:val="32"/>
          <w:szCs w:val="32"/>
          <w:lang w:eastAsia="zh-CN"/>
        </w:rPr>
      </w:pPr>
      <w:r>
        <w:rPr>
          <w:rFonts w:hint="eastAsia" w:ascii="黑体" w:hAnsi="黑体" w:eastAsia="黑体" w:cs="黑体"/>
          <w:b w:val="0"/>
          <w:bCs/>
          <w:spacing w:val="8"/>
          <w:sz w:val="32"/>
          <w:szCs w:val="32"/>
          <w:lang w:eastAsia="zh-CN"/>
        </w:rPr>
        <w:t>二、主要研究内容</w:t>
      </w:r>
    </w:p>
    <w:p w14:paraId="4D648CB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本研究聚焦于急性冠脉综合症（ACS）与慢性肾病（CKD）共病研究。探讨在代谢过程中，肾功能损伤对血液内不同分子量心脏标志物清除速度的影响；以及CKD不同阶段中，常用心脏诊断标志物hs-cTnI和hs-cTnT诊断ACS的动态变化曲线，以期明确特定临床场景下的指标选择，提升诊断效率与预测能力。</w:t>
      </w:r>
    </w:p>
    <w:p w14:paraId="25783801">
      <w:pPr>
        <w:pStyle w:val="3"/>
        <w:spacing w:before="47" w:line="560" w:lineRule="exact"/>
        <w:ind w:right="19"/>
        <w:jc w:val="both"/>
        <w:rPr>
          <w:rFonts w:hint="eastAsia" w:ascii="黑体" w:hAnsi="黑体" w:eastAsia="黑体" w:cs="黑体"/>
          <w:b w:val="0"/>
          <w:bCs/>
          <w:spacing w:val="8"/>
          <w:sz w:val="32"/>
          <w:szCs w:val="32"/>
          <w:lang w:eastAsia="zh-CN"/>
        </w:rPr>
      </w:pPr>
      <w:r>
        <w:rPr>
          <w:rFonts w:hint="eastAsia" w:ascii="黑体" w:hAnsi="黑体" w:eastAsia="黑体" w:cs="黑体"/>
          <w:b w:val="0"/>
          <w:bCs/>
          <w:spacing w:val="8"/>
          <w:sz w:val="32"/>
          <w:szCs w:val="32"/>
          <w:lang w:eastAsia="zh-CN"/>
        </w:rPr>
        <w:t>三、项目考核指标（项目执行期内）</w:t>
      </w:r>
    </w:p>
    <w:p w14:paraId="1009562F">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513BF80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发表中文或SCI论文≥1篇；</w:t>
      </w:r>
    </w:p>
    <w:p w14:paraId="04A806A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3D141F2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建立中国疑似ACS合并CKD人群的前瞻性观察性研究队列，研究不同类型心肌标志物在CKD各期的分布差异及其对急性心肌梗死（AMI）诊断效能差异，评价hs-cTnI和hs-cTnT在CKD不同分期中的短期和长期预后评估效能差异，建立适用于CKD患者的AMI诊断模型，</w:t>
      </w:r>
      <w:r>
        <w:rPr>
          <w:rFonts w:hint="eastAsia" w:ascii="仿宋_GB2312" w:hAnsi="仿宋_GB2312" w:eastAsia="仿宋_GB2312" w:cs="仿宋_GB2312"/>
          <w:spacing w:val="8"/>
          <w:sz w:val="32"/>
          <w:szCs w:val="32"/>
          <w:lang w:val="en-US" w:eastAsia="zh-CN"/>
        </w:rPr>
        <w:t>并形成≥1份研究报告。</w:t>
      </w:r>
    </w:p>
    <w:p w14:paraId="47FB8630">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517C4C3E">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五、资助金额：</w:t>
      </w:r>
      <w:r>
        <w:rPr>
          <w:rFonts w:hint="eastAsia" w:ascii="仿宋_GB2312" w:hAnsi="仿宋_GB2312" w:eastAsia="仿宋_GB2312" w:cs="仿宋_GB2312"/>
          <w:spacing w:val="8"/>
          <w:sz w:val="32"/>
          <w:szCs w:val="32"/>
          <w:lang w:eastAsia="zh-CN"/>
        </w:rPr>
        <w:t>不超过15万元</w:t>
      </w:r>
    </w:p>
    <w:p w14:paraId="5C2884EF">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202507004 创新PDR技术在胆红素类型鉴别及阻塞性黄疸早筛中的价值研究</w:t>
      </w:r>
    </w:p>
    <w:p w14:paraId="3C92B65F">
      <w:pPr>
        <w:pStyle w:val="3"/>
        <w:spacing w:before="47" w:line="560" w:lineRule="exact"/>
        <w:ind w:left="720" w:right="19" w:hanging="720"/>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spacing w:val="8"/>
          <w:sz w:val="32"/>
          <w:szCs w:val="32"/>
          <w:lang w:eastAsia="zh-CN"/>
        </w:rPr>
        <w:t>肝胆疾病、肝胆肿瘤</w:t>
      </w:r>
    </w:p>
    <w:p w14:paraId="6427AFF0">
      <w:pPr>
        <w:pStyle w:val="3"/>
        <w:spacing w:before="47" w:line="560" w:lineRule="exact"/>
        <w:ind w:left="720" w:right="19" w:hanging="720"/>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708B8EE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（一）探索PDR技术在鉴别肝胆疾病患者各种胆红素类型中的能力，并从实验室维度评估PDR技术抗黄疸干扰能力及其优化效果；</w:t>
      </w:r>
    </w:p>
    <w:p w14:paraId="0C67BFC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（二）基于PDR技术识别到的胆红素类型，及优化后的生化检验“研究结果”，探索在体检或可疑人群中进行阻塞性黄疸早期筛查的可能性。</w:t>
      </w:r>
    </w:p>
    <w:p w14:paraId="23111104">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4D7BA0B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59207DF9">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发表中文或SCI论文≥1篇；</w:t>
      </w:r>
    </w:p>
    <w:p w14:paraId="49B0108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6773B313">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1. 需收集至少1000例各类肝胆疾病患者标本开展本研究；</w:t>
      </w:r>
    </w:p>
    <w:p w14:paraId="189C482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2. 综合PDR技术对各种肝胆疾病患者血清中胆红素类型的识别能力、抗干扰能力，及其在阻塞性黄疸早筛中的效能，生成</w:t>
      </w:r>
      <w:r>
        <w:rPr>
          <w:rFonts w:hint="eastAsia" w:ascii="仿宋_GB2312" w:hAnsi="仿宋_GB2312" w:eastAsia="仿宋_GB2312" w:cs="仿宋_GB2312"/>
          <w:spacing w:val="8"/>
          <w:sz w:val="32"/>
          <w:szCs w:val="32"/>
          <w:lang w:val="en-US" w:eastAsia="zh-CN"/>
        </w:rPr>
        <w:t>≥1份</w:t>
      </w:r>
      <w:r>
        <w:rPr>
          <w:rFonts w:hint="eastAsia" w:ascii="仿宋_GB2312" w:hAnsi="仿宋_GB2312" w:eastAsia="仿宋_GB2312" w:cs="仿宋_GB2312"/>
          <w:spacing w:val="8"/>
          <w:sz w:val="32"/>
          <w:szCs w:val="32"/>
          <w:lang w:eastAsia="zh-CN"/>
        </w:rPr>
        <w:t>评估报告。</w:t>
      </w:r>
    </w:p>
    <w:p w14:paraId="00124D76">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3EBC6B91">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不超过10万元</w:t>
      </w:r>
    </w:p>
    <w:p w14:paraId="039E1D48">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4CFC1172">
      <w:pPr>
        <w:pStyle w:val="3"/>
        <w:spacing w:line="560" w:lineRule="exact"/>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202507005 癫痫发作急性期脑脊液铁死亡相关基因水平变化及其临床监测价值研究</w:t>
      </w:r>
    </w:p>
    <w:p w14:paraId="36E7ED7C">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
          <w:bCs/>
          <w:spacing w:val="8"/>
          <w:sz w:val="32"/>
          <w:szCs w:val="32"/>
          <w:lang w:eastAsia="zh-CN"/>
        </w:rPr>
        <w:t>：</w:t>
      </w:r>
      <w:r>
        <w:rPr>
          <w:rFonts w:hint="eastAsia" w:ascii="仿宋_GB2312" w:hAnsi="仿宋_GB2312" w:eastAsia="仿宋_GB2312" w:cs="仿宋_GB2312"/>
          <w:bCs/>
          <w:spacing w:val="8"/>
          <w:sz w:val="32"/>
          <w:szCs w:val="32"/>
          <w:lang w:eastAsia="zh-CN"/>
        </w:rPr>
        <w:t>癫痫</w:t>
      </w:r>
      <w:r>
        <w:rPr>
          <w:rFonts w:hint="eastAsia" w:ascii="仿宋_GB2312" w:hAnsi="仿宋_GB2312" w:eastAsia="仿宋_GB2312" w:cs="仿宋_GB2312"/>
          <w:bCs/>
          <w:spacing w:val="8"/>
          <w:sz w:val="32"/>
          <w:szCs w:val="32"/>
          <w:lang w:val="en-US" w:eastAsia="zh-CN"/>
        </w:rPr>
        <w:t>临床</w:t>
      </w:r>
      <w:r>
        <w:rPr>
          <w:rFonts w:hint="eastAsia" w:ascii="仿宋_GB2312" w:hAnsi="仿宋_GB2312" w:eastAsia="仿宋_GB2312" w:cs="仿宋_GB2312"/>
          <w:spacing w:val="8"/>
          <w:sz w:val="32"/>
          <w:szCs w:val="32"/>
          <w:lang w:eastAsia="zh-CN"/>
        </w:rPr>
        <w:t>监测</w:t>
      </w:r>
    </w:p>
    <w:p w14:paraId="13101B50">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7EF2739F">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选择80例癫痫患者作为研究对象，并将其分为癫痫急性发作组与癫痫发作间期组，另选取20例多发性神经根神经炎患者作为对照。采用酶联免疫吸附法（Elisa）法检测研究对象脑脊液中铁死亡相关因子GPX4、Ptgs2、ACSL4、SLC3A2、SLC7A11及NCOA4的表达水平。同时收集患者各项临床资料，应用ROC曲线、相关性分析等分析铁死亡相关因子水平与患者各项临床特征以及癫痫发作次数的关系，评估上述因子对癫痫发作急性期诊断以及预后评估价值，多因素分析影响患者预后的相关因素。</w:t>
      </w:r>
    </w:p>
    <w:p w14:paraId="1A2EC609">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4C602A6F">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581ADD4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28B2729B">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3158627C">
      <w:pPr>
        <w:pStyle w:val="3"/>
        <w:spacing w:before="47" w:line="560" w:lineRule="exact"/>
        <w:ind w:right="19" w:firstLine="672" w:firstLineChars="200"/>
        <w:jc w:val="both"/>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eastAsia="zh-CN"/>
        </w:rPr>
        <w:t>构建包含临床特征-分子标志物-预后参数的数据库，建立癫痫急性期诊断预测模型，</w:t>
      </w:r>
      <w:r>
        <w:rPr>
          <w:rFonts w:hint="eastAsia" w:ascii="仿宋_GB2312" w:hAnsi="仿宋_GB2312" w:eastAsia="仿宋_GB2312" w:cs="仿宋_GB2312"/>
          <w:spacing w:val="8"/>
          <w:sz w:val="32"/>
          <w:szCs w:val="32"/>
          <w:lang w:val="en-US" w:eastAsia="zh-CN"/>
        </w:rPr>
        <w:t>并形成≥1份评估分析报告。</w:t>
      </w:r>
    </w:p>
    <w:p w14:paraId="31C851CC">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43B3B767">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不超过20万元</w:t>
      </w:r>
    </w:p>
    <w:p w14:paraId="58B61621">
      <w:pPr>
        <w:pStyle w:val="3"/>
        <w:spacing w:before="47" w:line="560" w:lineRule="exact"/>
        <w:ind w:right="19"/>
        <w:jc w:val="center"/>
        <w:rPr>
          <w:rFonts w:hint="eastAsia" w:ascii="仿宋_GB2312" w:hAnsi="仿宋_GB2312" w:eastAsia="仿宋_GB2312" w:cs="仿宋_GB2312"/>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202507006 胃蛋白酶原（PG）、胃泌素-17（G-17）及幽门螺杆菌（Hp）抗体联合检测在胃癌早期筛查中的应用研究</w:t>
      </w:r>
    </w:p>
    <w:p w14:paraId="2A182B1D">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spacing w:val="8"/>
          <w:sz w:val="32"/>
          <w:szCs w:val="32"/>
          <w:lang w:eastAsia="zh-CN"/>
        </w:rPr>
        <w:t>机器学习、胃癌早筛、联合检测</w:t>
      </w:r>
    </w:p>
    <w:p w14:paraId="568E21D6">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二、主要研发内容</w:t>
      </w:r>
    </w:p>
    <w:p w14:paraId="73550FFA">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胃癌全球发病率及死亡率均居高位，东亚地区尤为严重，而我国早期胃癌诊断率不足，现有筛查方法如胃镜存在侵入性强、依从性差等局限，传统生物标志物敏感性和特异性欠佳。研究内容要通过多维联合检测，提高筛查灵敏度和特异度，减少漏诊误诊。通过临床验证优化模型参数，形成标准化筛查方案。建立筛查数据库，为制定胃癌筛查标准提供数据支持。</w:t>
      </w:r>
    </w:p>
    <w:p w14:paraId="22FE7CD8">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3B6AEDC0">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2BB8B3AD">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共同发表中文或SCI论文≥1篇；</w:t>
      </w:r>
    </w:p>
    <w:p w14:paraId="597D0EEE">
      <w:pPr>
        <w:pStyle w:val="3"/>
        <w:spacing w:before="47" w:line="560" w:lineRule="exact"/>
        <w:ind w:right="19" w:firstLine="672" w:firstLineChars="200"/>
        <w:jc w:val="both"/>
        <w:rPr>
          <w:rFonts w:hint="eastAsia" w:ascii="仿宋_GB2312" w:hAnsi="仿宋_GB2312" w:eastAsia="仿宋_GB2312" w:cs="仿宋_GB2312"/>
          <w:b/>
          <w:bCs/>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205F577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基于受试者的临床数据，包括临床一般资料、既往病史、血液指标等相关指标数据的研究，建立胃癌早期筛查诊断的最优机器学习算法模型，输出分析胃癌早期筛查的评估报告≥1份。</w:t>
      </w:r>
    </w:p>
    <w:p w14:paraId="1088B7DE">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6DCDF128">
      <w:pPr>
        <w:pStyle w:val="3"/>
        <w:spacing w:before="47" w:line="560" w:lineRule="exact"/>
        <w:ind w:right="19"/>
        <w:jc w:val="both"/>
        <w:rPr>
          <w:rFonts w:hint="eastAsia" w:ascii="仿宋_GB2312" w:hAnsi="仿宋_GB2312" w:eastAsia="仿宋_GB2312" w:cs="仿宋_GB2312"/>
          <w:spacing w:val="19"/>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不超过10万元（多中心临床研究）</w:t>
      </w:r>
    </w:p>
    <w:p w14:paraId="63900A21">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202507007 基于多维标志物的静脉血栓形成风险评估与早期诊断模型构建及应用研究</w:t>
      </w:r>
    </w:p>
    <w:p w14:paraId="115ACFA9">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 w:val="0"/>
          <w:bCs w:val="0"/>
          <w:spacing w:val="8"/>
          <w:sz w:val="32"/>
          <w:szCs w:val="32"/>
          <w:lang w:eastAsia="zh-CN"/>
        </w:rPr>
        <w:t>凝血</w:t>
      </w:r>
    </w:p>
    <w:p w14:paraId="4A19C0C2">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319F2EDA">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本研究针对成年静脉血栓形成（如深静脉血栓形成、视网膜静脉阻塞等），拟通过系统筛选多维标志物并构建静脉血栓形成风险评估与早期诊断模型，以期提升诊断效率与预测准确性。</w:t>
      </w:r>
    </w:p>
    <w:p w14:paraId="69BAD2AF">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6C91DA76">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48487B82">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共同发表中文或SCI论文≥1篇；</w:t>
      </w:r>
    </w:p>
    <w:p w14:paraId="0256CAAB">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2BE09D0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本研究将采集静脉血栓确诊组、疑似组及健康对照组血液样本各≥30例，检测凝血功能、血栓指标、炎症标志物及静脉血栓风险评分等多维生物标志物，构建静脉血栓风险评估与早期诊断模型，形成≥1份评估报告。</w:t>
      </w:r>
    </w:p>
    <w:p w14:paraId="215D290F">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5D2E17C4">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不超过10万元（多中心临床研究）</w:t>
      </w:r>
    </w:p>
    <w:p w14:paraId="7D81A7EB">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0C1CB1EB">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E426E15">
      <w:pPr>
        <w:pStyle w:val="3"/>
        <w:spacing w:before="47" w:line="560" w:lineRule="exact"/>
        <w:ind w:right="19"/>
        <w:jc w:val="center"/>
        <w:rPr>
          <w:rFonts w:hint="eastAsia" w:ascii="仿宋_GB2312" w:hAnsi="仿宋_GB2312" w:eastAsia="仿宋_GB2312" w:cs="仿宋_GB2312"/>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202507008 新型传染性疾病标志物在传染病诊断、用药及预后的临床应用研究</w:t>
      </w:r>
    </w:p>
    <w:p w14:paraId="3F67478B">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Cs/>
          <w:spacing w:val="8"/>
          <w:sz w:val="32"/>
          <w:szCs w:val="32"/>
          <w:lang w:eastAsia="zh-CN"/>
        </w:rPr>
        <w:t>传染性疾病、临床研究</w:t>
      </w:r>
    </w:p>
    <w:p w14:paraId="58A29899">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55590799">
      <w:pPr>
        <w:pStyle w:val="3"/>
        <w:spacing w:line="560" w:lineRule="exact"/>
        <w:ind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围绕传染性疾病患者全程管理的临床诊疗需求，通过新型传染性疾病标志物（HBcrAg等）与其他标志物联合建立诊断、停药后复发及并发症发生的预测模型，对患者进行风险分层，辅助决策患者是否需要接受针对性治疗及评估患者的治疗效果，为停药决策提供精准判断依据。</w:t>
      </w:r>
    </w:p>
    <w:p w14:paraId="2FA701EE">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3554B9F5">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20D15A0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0BB0A3A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731F8E79">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通过新型传染性疾病标志物（HBcrAg等）与其他标志物联合建立诊断、停药后复发及并发症发生的预测模型</w:t>
      </w:r>
      <w:r>
        <w:rPr>
          <w:rFonts w:hint="eastAsia" w:ascii="仿宋_GB2312" w:hAnsi="仿宋_GB2312" w:eastAsia="仿宋_GB2312" w:cs="仿宋_GB2312"/>
          <w:spacing w:val="8"/>
          <w:sz w:val="32"/>
          <w:szCs w:val="32"/>
          <w:lang w:val="en-US" w:eastAsia="zh-CN"/>
        </w:rPr>
        <w:t>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31CBED21">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1828DB8A">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不超过10万元</w:t>
      </w:r>
    </w:p>
    <w:p w14:paraId="1AF907F6">
      <w:pPr>
        <w:pStyle w:val="3"/>
        <w:spacing w:before="47" w:line="560" w:lineRule="exact"/>
        <w:ind w:right="19"/>
        <w:jc w:val="both"/>
        <w:rPr>
          <w:rFonts w:hint="eastAsia" w:ascii="仿宋_GB2312" w:hAnsi="仿宋_GB2312" w:eastAsia="仿宋_GB2312" w:cs="仿宋_GB2312"/>
          <w:spacing w:val="8"/>
          <w:sz w:val="32"/>
          <w:szCs w:val="32"/>
          <w:lang w:eastAsia="zh-CN"/>
        </w:rPr>
      </w:pPr>
    </w:p>
    <w:p w14:paraId="41E40F1D">
      <w:pPr>
        <w:pStyle w:val="3"/>
        <w:spacing w:before="47" w:line="560" w:lineRule="exact"/>
        <w:ind w:right="19"/>
        <w:jc w:val="both"/>
        <w:rPr>
          <w:rFonts w:hint="eastAsia" w:ascii="仿宋_GB2312" w:hAnsi="仿宋_GB2312" w:eastAsia="仿宋_GB2312" w:cs="仿宋_GB2312"/>
          <w:spacing w:val="8"/>
          <w:sz w:val="32"/>
          <w:szCs w:val="32"/>
          <w:lang w:eastAsia="zh-CN"/>
        </w:rPr>
      </w:pPr>
    </w:p>
    <w:p w14:paraId="3BFFE76D">
      <w:pPr>
        <w:pStyle w:val="3"/>
        <w:spacing w:before="47" w:line="560" w:lineRule="exact"/>
        <w:ind w:right="19"/>
        <w:jc w:val="both"/>
        <w:rPr>
          <w:rFonts w:hint="eastAsia" w:ascii="仿宋_GB2312" w:hAnsi="仿宋_GB2312" w:eastAsia="仿宋_GB2312" w:cs="仿宋_GB2312"/>
          <w:spacing w:val="8"/>
          <w:sz w:val="32"/>
          <w:szCs w:val="32"/>
          <w:lang w:eastAsia="zh-CN"/>
        </w:rPr>
      </w:pPr>
    </w:p>
    <w:p w14:paraId="59F84C9B">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202507009 肿瘤标志物在肿瘤疾病中预防、诊断、疗效及预后的临床应用研究</w:t>
      </w:r>
    </w:p>
    <w:p w14:paraId="32170EFB">
      <w:pPr>
        <w:pStyle w:val="3"/>
        <w:spacing w:before="47" w:line="560" w:lineRule="exact"/>
        <w:ind w:right="19"/>
        <w:jc w:val="both"/>
        <w:rPr>
          <w:rFonts w:hint="default" w:ascii="仿宋_GB2312" w:hAnsi="仿宋_GB2312" w:eastAsia="仿宋_GB2312" w:cs="仿宋_GB2312"/>
          <w:spacing w:val="8"/>
          <w:sz w:val="32"/>
          <w:szCs w:val="32"/>
          <w:lang w:val="en-US"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spacing w:val="8"/>
          <w:sz w:val="32"/>
          <w:szCs w:val="32"/>
          <w:lang w:eastAsia="zh-CN"/>
        </w:rPr>
        <w:t>肿瘤</w:t>
      </w:r>
      <w:r>
        <w:rPr>
          <w:rFonts w:hint="eastAsia" w:ascii="仿宋_GB2312" w:hAnsi="仿宋_GB2312" w:eastAsia="仿宋_GB2312" w:cs="仿宋_GB2312"/>
          <w:spacing w:val="8"/>
          <w:sz w:val="32"/>
          <w:szCs w:val="32"/>
          <w:lang w:val="en-US" w:eastAsia="zh-CN"/>
        </w:rPr>
        <w:t>预防诊断</w:t>
      </w:r>
    </w:p>
    <w:p w14:paraId="0A7315BA">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24497329">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围绕我国肿瘤患者全程管理的临床诊疗需求，探讨化学发光法检测的肿瘤新标志物的病理、生理影响因素和检测干扰因素，确定利用肿瘤标志物开展肿瘤筛查的指征、参考范围和诊断价值，为实现我国肿瘤患者的早期诊断和精准治疗提供新依据。或开展肿瘤标志物在非肿瘤疾病中的探索应用。</w:t>
      </w:r>
    </w:p>
    <w:p w14:paraId="196F4AC2">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69F7382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4C324BF2">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40984E9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2E0BE23B">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利用肿瘤标志物开展肿瘤筛查的指征、参考范围和诊断价值，实现肿瘤患者的早期诊断和精准治疗提供新依据，</w:t>
      </w:r>
      <w:r>
        <w:rPr>
          <w:rFonts w:hint="eastAsia" w:ascii="仿宋_GB2312" w:hAnsi="仿宋_GB2312" w:eastAsia="仿宋_GB2312" w:cs="仿宋_GB2312"/>
          <w:spacing w:val="8"/>
          <w:sz w:val="32"/>
          <w:szCs w:val="32"/>
          <w:lang w:val="en-US" w:eastAsia="zh-CN"/>
        </w:rPr>
        <w:t>基于以上研究内容形成≥1份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55457DE4">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39D0C913">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不超过20万元</w:t>
      </w:r>
    </w:p>
    <w:p w14:paraId="34ECE752">
      <w:pPr>
        <w:pStyle w:val="3"/>
        <w:spacing w:before="47" w:line="560" w:lineRule="exact"/>
        <w:ind w:right="19"/>
        <w:jc w:val="both"/>
        <w:rPr>
          <w:rFonts w:hint="eastAsia" w:ascii="仿宋_GB2312" w:hAnsi="仿宋_GB2312" w:eastAsia="仿宋_GB2312" w:cs="仿宋_GB2312"/>
          <w:spacing w:val="8"/>
          <w:sz w:val="32"/>
          <w:szCs w:val="32"/>
          <w:lang w:eastAsia="zh-CN"/>
        </w:rPr>
      </w:pPr>
    </w:p>
    <w:p w14:paraId="645D6BDF">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5A727F6F">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401A36A0">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202507010 临床多疾病场景下甲状腺疾病精准筛查及病情评估</w:t>
      </w:r>
    </w:p>
    <w:p w14:paraId="48AE7064">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spacing w:val="8"/>
          <w:sz w:val="32"/>
          <w:szCs w:val="32"/>
          <w:lang w:eastAsia="zh-CN"/>
        </w:rPr>
        <w:t>甲状腺疾病</w:t>
      </w:r>
    </w:p>
    <w:p w14:paraId="671A851E">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7F71B31A">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分析现有的甲状腺疾病筛查方法的优缺点及适用范围，包括血清甲状腺激素水平检测、甲状腺超声检查、细针穿刺活检等，并在此基础上探索新型的筛查方法以期提高甲状腺疾病的筛查精度和效率。进一步研究甲状腺疾病的病情评估体系，包括评估指标的选取、评估标准的制定以及评估方法的优化。并通过分析大量甲状腺疾病患者的数据，构建基于大数据的预测模型，以预测患者的疾病发展趋势、治疗效果、参考值制定和共识指南的修订等提供参考依据。</w:t>
      </w:r>
    </w:p>
    <w:p w14:paraId="47F0D92B">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7DC80FAC">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7F0E3D81">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605A8029">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0AF3A04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围绕不同人群及疾病场景下甲状腺疾病全程管理的临床诊疗需求，构建基于多模态数据的甲状腺疾病诊断模型，</w:t>
      </w:r>
      <w:r>
        <w:rPr>
          <w:rFonts w:hint="eastAsia" w:ascii="仿宋_GB2312" w:hAnsi="仿宋_GB2312" w:eastAsia="仿宋_GB2312" w:cs="仿宋_GB2312"/>
          <w:spacing w:val="8"/>
          <w:sz w:val="32"/>
          <w:szCs w:val="32"/>
          <w:lang w:val="en-US" w:eastAsia="zh-CN"/>
        </w:rPr>
        <w:t>并形成≥1份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3F598A08">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4063D1CB">
      <w:pPr>
        <w:pStyle w:val="3"/>
        <w:spacing w:before="47" w:line="560" w:lineRule="exact"/>
        <w:ind w:right="19"/>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不超过20万元</w:t>
      </w:r>
    </w:p>
    <w:p w14:paraId="5DB94A59">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202507011 内分泌激素在生长发育或妊娠相关疾病的诊疗价值研究</w:t>
      </w:r>
    </w:p>
    <w:p w14:paraId="28662774">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Cs/>
          <w:spacing w:val="8"/>
          <w:sz w:val="32"/>
          <w:szCs w:val="32"/>
          <w:lang w:eastAsia="zh-CN"/>
        </w:rPr>
        <w:t>内分泌</w:t>
      </w:r>
    </w:p>
    <w:p w14:paraId="72044EED">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3703D503">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围绕特定人群（包括新生儿、婴幼儿、青少年及孕妇）在生长发育或妊娠相关疾病的诊疗需求，深入探讨生长发育相关内分泌激素在儿童生长发育及妊娠阶段生理学、病理生理学的变化因素以及免疫检测方法学特异性的影响因素，最终确定相关疾病标志物的检测指征、诊断效能、参考范围及诊断价值，为妊娠期和儿童生长发育阶段的内分泌失调的早期诊断和个体化治疗提供科学依据。</w:t>
      </w:r>
    </w:p>
    <w:p w14:paraId="114AF020">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02EAA54A">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7ED3BB0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1BBC0A9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17F003A0">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深入探讨生长发育相关内分泌激素在儿童生长发育及妊娠阶段生理学、病理生理学的变化因素以及免疫检测方法学特异性的影响因素，</w:t>
      </w:r>
      <w:r>
        <w:rPr>
          <w:rFonts w:hint="eastAsia" w:ascii="仿宋_GB2312" w:hAnsi="仿宋_GB2312" w:eastAsia="仿宋_GB2312" w:cs="仿宋_GB2312"/>
          <w:spacing w:val="8"/>
          <w:sz w:val="32"/>
          <w:szCs w:val="32"/>
          <w:lang w:val="en-US" w:eastAsia="zh-CN"/>
        </w:rPr>
        <w:t>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6DC7DBC0">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274651A8">
      <w:pPr>
        <w:pStyle w:val="3"/>
        <w:spacing w:before="47" w:line="560" w:lineRule="exact"/>
        <w:ind w:right="19"/>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不超过20万元</w:t>
      </w:r>
    </w:p>
    <w:p w14:paraId="203E5C0A">
      <w:pPr>
        <w:pStyle w:val="3"/>
        <w:spacing w:before="47" w:line="560" w:lineRule="exact"/>
        <w:ind w:right="19"/>
        <w:rPr>
          <w:rFonts w:hint="eastAsia" w:ascii="仿宋_GB2312" w:hAnsi="仿宋_GB2312" w:eastAsia="仿宋_GB2312" w:cs="仿宋_GB2312"/>
          <w:spacing w:val="8"/>
          <w:sz w:val="32"/>
          <w:szCs w:val="32"/>
          <w:lang w:eastAsia="zh-CN"/>
        </w:rPr>
      </w:pPr>
    </w:p>
    <w:p w14:paraId="23C763E1">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202507012 心脏标志物在心血管疾病风险预测、诊断、疗效与预后评估的应用研究</w:t>
      </w:r>
    </w:p>
    <w:p w14:paraId="0B295F1C">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Cs/>
          <w:spacing w:val="8"/>
          <w:sz w:val="32"/>
          <w:szCs w:val="32"/>
          <w:lang w:eastAsia="zh-CN"/>
        </w:rPr>
        <w:t>心血管疾病</w:t>
      </w:r>
    </w:p>
    <w:p w14:paraId="4D325B16">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41C1A205">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探讨心脏标志（hs-cTnI等）在高血压、糖尿病、慢性肾病、高脂血症、感染性疾病、急重症等患者中发生不良心血管事件的筛查指征、参考范围、诊断价值，为优化不同人群心血管事件的预测、诊断、疗效与预后评估提供科学依据。</w:t>
      </w:r>
    </w:p>
    <w:p w14:paraId="03BC6701">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6DC8422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369E426F">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706770C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4B5E043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心脏标志（hs-cTnI等）在高血压、糖尿病、慢性肾病、高脂血症、感染性疾病、急重症等患者中发生不良心血管</w:t>
      </w:r>
      <w:r>
        <w:rPr>
          <w:rFonts w:hint="eastAsia" w:ascii="仿宋_GB2312" w:hAnsi="仿宋_GB2312" w:eastAsia="仿宋_GB2312" w:cs="仿宋_GB2312"/>
          <w:spacing w:val="8"/>
          <w:sz w:val="32"/>
          <w:szCs w:val="32"/>
          <w:lang w:val="en-US" w:eastAsia="zh-CN"/>
        </w:rPr>
        <w:t>的诊断价值研究，形成≥1份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70D58DDF">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4BB08B90">
      <w:pPr>
        <w:pStyle w:val="3"/>
        <w:spacing w:before="47" w:line="560" w:lineRule="exact"/>
        <w:ind w:right="19"/>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不超过20万元</w:t>
      </w:r>
    </w:p>
    <w:p w14:paraId="1E7026C5">
      <w:pPr>
        <w:pStyle w:val="3"/>
        <w:spacing w:before="47" w:line="560" w:lineRule="exact"/>
        <w:ind w:right="19"/>
        <w:rPr>
          <w:rFonts w:hint="eastAsia" w:ascii="仿宋_GB2312" w:hAnsi="仿宋_GB2312" w:eastAsia="仿宋_GB2312" w:cs="仿宋_GB2312"/>
          <w:spacing w:val="8"/>
          <w:sz w:val="32"/>
          <w:szCs w:val="32"/>
          <w:lang w:eastAsia="zh-CN"/>
        </w:rPr>
      </w:pPr>
    </w:p>
    <w:p w14:paraId="3F1786CE">
      <w:pPr>
        <w:pStyle w:val="3"/>
        <w:spacing w:before="47" w:line="560" w:lineRule="exact"/>
        <w:ind w:right="19"/>
        <w:rPr>
          <w:rFonts w:hint="eastAsia" w:ascii="仿宋_GB2312" w:hAnsi="仿宋_GB2312" w:eastAsia="仿宋_GB2312" w:cs="仿宋_GB2312"/>
          <w:spacing w:val="8"/>
          <w:sz w:val="32"/>
          <w:szCs w:val="32"/>
          <w:lang w:eastAsia="zh-CN"/>
        </w:rPr>
      </w:pPr>
    </w:p>
    <w:p w14:paraId="59F81E6C">
      <w:pPr>
        <w:pStyle w:val="3"/>
        <w:spacing w:before="47" w:line="560" w:lineRule="exact"/>
        <w:ind w:right="19"/>
        <w:rPr>
          <w:rFonts w:hint="eastAsia" w:ascii="仿宋_GB2312" w:hAnsi="仿宋_GB2312" w:eastAsia="仿宋_GB2312" w:cs="仿宋_GB2312"/>
          <w:spacing w:val="8"/>
          <w:sz w:val="32"/>
          <w:szCs w:val="32"/>
          <w:lang w:eastAsia="zh-CN"/>
        </w:rPr>
      </w:pPr>
    </w:p>
    <w:p w14:paraId="79828B14">
      <w:pPr>
        <w:pStyle w:val="3"/>
        <w:spacing w:before="47" w:line="560" w:lineRule="exact"/>
        <w:ind w:right="19"/>
        <w:rPr>
          <w:rFonts w:hint="eastAsia" w:ascii="仿宋_GB2312" w:hAnsi="仿宋_GB2312" w:eastAsia="仿宋_GB2312" w:cs="仿宋_GB2312"/>
          <w:spacing w:val="8"/>
          <w:sz w:val="32"/>
          <w:szCs w:val="32"/>
          <w:lang w:eastAsia="zh-CN"/>
        </w:rPr>
      </w:pPr>
    </w:p>
    <w:p w14:paraId="26177D8D">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重</w:t>
      </w:r>
      <w:r>
        <w:rPr>
          <w:rFonts w:hint="eastAsia" w:ascii="黑体" w:hAnsi="黑体" w:eastAsia="黑体" w:cs="黑体"/>
          <w:b/>
          <w:bCs/>
          <w:spacing w:val="8"/>
          <w:sz w:val="32"/>
          <w:szCs w:val="32"/>
          <w:lang w:eastAsia="zh-CN"/>
        </w:rPr>
        <w:t>202507013 新型感染标志物在感染性疾病、自身免疫性疾病诊断、用药及预后中的临床应用研究</w:t>
      </w:r>
    </w:p>
    <w:p w14:paraId="03DC7191">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Cs/>
          <w:spacing w:val="8"/>
          <w:sz w:val="32"/>
          <w:szCs w:val="32"/>
          <w:lang w:eastAsia="zh-CN"/>
        </w:rPr>
        <w:t>感染性疾病、自身免疫性疾病</w:t>
      </w:r>
    </w:p>
    <w:p w14:paraId="3AFD7CA7">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6F39EFE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基于新型化学发光法检测的感染标志物在感染性疾病、自身免疫性疾病诊断、用药及预后的临床应用价值，并验证其临床诊疗及预后的价值，评估感染标志物在诊断准确性、敏感性和特异性等方面的优势，以及在治疗效果及预后评估等方面的价值，构建基于新型感染标志物的诊断及预后评估模型，为临床决策提供依据。</w:t>
      </w:r>
    </w:p>
    <w:p w14:paraId="0D5F4F50">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1C725F6B">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6AC35DEA">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63F6D63D">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0F85C226">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基于新型化学发光法检测的感染标志物在感染性疾病、自身免疫性疾病诊断、用药及预后的临床应用价值</w:t>
      </w:r>
      <w:r>
        <w:rPr>
          <w:rFonts w:hint="eastAsia" w:ascii="仿宋_GB2312" w:hAnsi="仿宋_GB2312" w:eastAsia="仿宋_GB2312" w:cs="仿宋_GB2312"/>
          <w:spacing w:val="8"/>
          <w:sz w:val="32"/>
          <w:szCs w:val="32"/>
          <w:lang w:val="en-US" w:eastAsia="zh-CN"/>
        </w:rPr>
        <w:t>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1975D312">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582F13E8">
      <w:pPr>
        <w:pStyle w:val="3"/>
        <w:spacing w:before="47" w:line="560" w:lineRule="exact"/>
        <w:ind w:right="19"/>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不超过30万元</w:t>
      </w:r>
    </w:p>
    <w:p w14:paraId="308B9D37">
      <w:pPr>
        <w:pStyle w:val="3"/>
        <w:spacing w:before="47" w:line="560" w:lineRule="exact"/>
        <w:ind w:right="19"/>
        <w:rPr>
          <w:rFonts w:hint="eastAsia" w:ascii="仿宋_GB2312" w:hAnsi="仿宋_GB2312" w:eastAsia="仿宋_GB2312" w:cs="仿宋_GB2312"/>
          <w:spacing w:val="8"/>
          <w:sz w:val="32"/>
          <w:szCs w:val="32"/>
          <w:lang w:eastAsia="zh-CN"/>
        </w:rPr>
      </w:pPr>
    </w:p>
    <w:p w14:paraId="7C4FD741">
      <w:pPr>
        <w:pStyle w:val="3"/>
        <w:spacing w:before="47" w:line="560" w:lineRule="exact"/>
        <w:ind w:right="19"/>
        <w:jc w:val="center"/>
        <w:rPr>
          <w:rFonts w:hint="eastAsia" w:ascii="黑体" w:hAnsi="黑体" w:eastAsia="黑体" w:cs="黑体"/>
          <w:b/>
          <w:bCs/>
          <w:spacing w:val="8"/>
          <w:sz w:val="32"/>
          <w:szCs w:val="32"/>
          <w:lang w:eastAsia="zh-CN"/>
        </w:rPr>
      </w:pPr>
      <w:r>
        <w:rPr>
          <w:rFonts w:hint="eastAsia" w:ascii="黑体" w:hAnsi="黑体" w:eastAsia="黑体" w:cs="黑体"/>
          <w:b/>
          <w:bCs/>
          <w:spacing w:val="8"/>
          <w:sz w:val="32"/>
          <w:szCs w:val="32"/>
          <w:lang w:val="en-US" w:eastAsia="zh-CN"/>
        </w:rPr>
        <w:t>重</w:t>
      </w:r>
      <w:r>
        <w:rPr>
          <w:rFonts w:hint="eastAsia" w:ascii="黑体" w:hAnsi="黑体" w:eastAsia="黑体" w:cs="黑体"/>
          <w:b/>
          <w:bCs/>
          <w:spacing w:val="8"/>
          <w:sz w:val="32"/>
          <w:szCs w:val="32"/>
          <w:lang w:eastAsia="zh-CN"/>
        </w:rPr>
        <w:t>20250</w:t>
      </w:r>
      <w:r>
        <w:rPr>
          <w:rFonts w:hint="eastAsia" w:ascii="黑体" w:hAnsi="黑体" w:eastAsia="黑体" w:cs="黑体"/>
          <w:b/>
          <w:bCs/>
          <w:spacing w:val="8"/>
          <w:sz w:val="32"/>
          <w:szCs w:val="32"/>
          <w:lang w:val="en-US" w:eastAsia="zh-CN"/>
        </w:rPr>
        <w:t>7</w:t>
      </w:r>
      <w:r>
        <w:rPr>
          <w:rFonts w:hint="eastAsia" w:ascii="黑体" w:hAnsi="黑体" w:eastAsia="黑体" w:cs="黑体"/>
          <w:b/>
          <w:bCs/>
          <w:spacing w:val="8"/>
          <w:sz w:val="32"/>
          <w:szCs w:val="32"/>
          <w:lang w:eastAsia="zh-CN"/>
        </w:rPr>
        <w:t>0</w:t>
      </w:r>
      <w:r>
        <w:rPr>
          <w:rFonts w:hint="eastAsia" w:ascii="黑体" w:hAnsi="黑体" w:eastAsia="黑体" w:cs="黑体"/>
          <w:b/>
          <w:bCs/>
          <w:spacing w:val="8"/>
          <w:sz w:val="32"/>
          <w:szCs w:val="32"/>
          <w:lang w:val="en-US" w:eastAsia="zh-CN"/>
        </w:rPr>
        <w:t>14</w:t>
      </w:r>
      <w:r>
        <w:rPr>
          <w:rFonts w:hint="eastAsia" w:ascii="黑体" w:hAnsi="黑体" w:eastAsia="黑体" w:cs="黑体"/>
          <w:b/>
          <w:bCs/>
          <w:spacing w:val="8"/>
          <w:sz w:val="32"/>
          <w:szCs w:val="32"/>
          <w:lang w:eastAsia="zh-CN"/>
        </w:rPr>
        <w:t xml:space="preserve"> 基于多模态数据的肝癌早期风险预测模型建立与智能判读</w:t>
      </w:r>
    </w:p>
    <w:p w14:paraId="7736C04E">
      <w:pPr>
        <w:pStyle w:val="3"/>
        <w:spacing w:before="47" w:line="560" w:lineRule="exact"/>
        <w:ind w:right="19"/>
        <w:jc w:val="both"/>
        <w:rPr>
          <w:rFonts w:hint="eastAsia" w:ascii="仿宋_GB2312" w:hAnsi="仿宋_GB2312" w:eastAsia="仿宋_GB2312" w:cs="仿宋_GB2312"/>
          <w:b w:val="0"/>
          <w:bCs w:val="0"/>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 w:val="0"/>
          <w:bCs w:val="0"/>
          <w:spacing w:val="8"/>
          <w:sz w:val="32"/>
          <w:szCs w:val="32"/>
          <w:lang w:eastAsia="zh-CN"/>
        </w:rPr>
        <w:t>肝癌、早期模型</w:t>
      </w:r>
    </w:p>
    <w:p w14:paraId="7F8F4832">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56B3201A">
      <w:pPr>
        <w:pStyle w:val="3"/>
        <w:spacing w:before="47" w:line="560" w:lineRule="exact"/>
        <w:ind w:right="19" w:firstLine="672" w:firstLineChars="200"/>
        <w:jc w:val="both"/>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开展肝炎相关肝癌的早期筛查和早期干预研究。基于独立或联合实验室数据模型，量化评估肝癌患者的肝实质功能潜力状况（有效肝功能），采用动态、多模态、多维度的观察模式，开发能够评估肝癌病情轻重程度、早期判断预后及肝病筛查的智能化诊断模型，提升各级医疗机构肝癌实验室检测水平，协助确立个性化治疗方案。</w:t>
      </w:r>
    </w:p>
    <w:p w14:paraId="350F58FE">
      <w:pPr>
        <w:pStyle w:val="3"/>
        <w:numPr>
          <w:ilvl w:val="0"/>
          <w:numId w:val="0"/>
        </w:numPr>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napToGrid w:val="0"/>
          <w:color w:val="000000"/>
          <w:spacing w:val="8"/>
          <w:sz w:val="32"/>
          <w:szCs w:val="32"/>
          <w:lang w:val="en-US" w:eastAsia="zh-CN" w:bidi="ar-SA"/>
        </w:rPr>
        <w:t>三、</w:t>
      </w:r>
      <w:r>
        <w:rPr>
          <w:rFonts w:hint="eastAsia" w:ascii="黑体" w:hAnsi="黑体" w:eastAsia="黑体" w:cs="黑体"/>
          <w:b w:val="0"/>
          <w:bCs w:val="0"/>
          <w:spacing w:val="8"/>
          <w:sz w:val="32"/>
          <w:szCs w:val="32"/>
          <w:lang w:eastAsia="zh-CN"/>
        </w:rPr>
        <w:t>项目考核指标（项目执行期内）</w:t>
      </w:r>
    </w:p>
    <w:p w14:paraId="0993B55C">
      <w:pPr>
        <w:pStyle w:val="3"/>
        <w:spacing w:before="47" w:line="560" w:lineRule="exact"/>
        <w:ind w:right="19" w:firstLine="672" w:firstLineChars="200"/>
        <w:jc w:val="both"/>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（一）学术指标：</w:t>
      </w:r>
    </w:p>
    <w:p w14:paraId="476D8F20">
      <w:pPr>
        <w:pStyle w:val="3"/>
        <w:spacing w:before="47" w:line="560" w:lineRule="exact"/>
        <w:ind w:left="30" w:right="19" w:firstLine="648"/>
        <w:jc w:val="both"/>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发表学术论文≥1篇或申请专利≥1项；</w:t>
      </w:r>
    </w:p>
    <w:p w14:paraId="05CC19EB">
      <w:pPr>
        <w:pStyle w:val="3"/>
        <w:spacing w:before="47" w:line="560" w:lineRule="exact"/>
        <w:ind w:right="19" w:firstLine="672" w:firstLineChars="200"/>
        <w:jc w:val="both"/>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（二）技术指标：</w:t>
      </w:r>
    </w:p>
    <w:p w14:paraId="0104584A">
      <w:pPr>
        <w:pStyle w:val="3"/>
        <w:numPr>
          <w:ilvl w:val="0"/>
          <w:numId w:val="0"/>
        </w:numPr>
        <w:spacing w:before="47" w:line="560" w:lineRule="exact"/>
        <w:ind w:right="19" w:firstLine="672" w:firstLineChars="200"/>
        <w:jc w:val="both"/>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基于双向人群队列数据，在PAGE-B模型、GALAD模型的基础上，纳入多模态指标，建立新的肝癌风险预测模型，并开发能够识别肝癌早期风险的AI智能判读系统，</w:t>
      </w:r>
      <w:r>
        <w:rPr>
          <w:rFonts w:hint="eastAsia" w:ascii="仿宋_GB2312" w:hAnsi="仿宋_GB2312" w:eastAsia="仿宋_GB2312" w:cs="仿宋_GB2312"/>
          <w:b w:val="0"/>
          <w:bCs w:val="0"/>
          <w:spacing w:val="8"/>
          <w:sz w:val="32"/>
          <w:szCs w:val="32"/>
          <w:lang w:val="en-US" w:eastAsia="zh-CN"/>
        </w:rPr>
        <w:t>形成</w:t>
      </w:r>
      <w:r>
        <w:rPr>
          <w:rFonts w:hint="eastAsia"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spacing w:val="8"/>
          <w:sz w:val="32"/>
          <w:szCs w:val="32"/>
          <w:lang w:val="en-US" w:eastAsia="zh-CN"/>
        </w:rPr>
        <w:t>份高质量临床研究报告。</w:t>
      </w:r>
    </w:p>
    <w:p w14:paraId="0092C29D">
      <w:pPr>
        <w:pStyle w:val="3"/>
        <w:spacing w:before="47" w:line="560" w:lineRule="exact"/>
        <w:ind w:right="19"/>
        <w:jc w:val="both"/>
        <w:rPr>
          <w:rFonts w:hint="eastAsia" w:ascii="仿宋_GB2312" w:hAnsi="仿宋_GB2312" w:eastAsia="仿宋_GB2312" w:cs="仿宋_GB2312"/>
          <w:b w:val="0"/>
          <w:bCs w:val="0"/>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b w:val="0"/>
          <w:bCs w:val="0"/>
          <w:spacing w:val="8"/>
          <w:sz w:val="32"/>
          <w:szCs w:val="32"/>
          <w:lang w:eastAsia="zh-CN"/>
        </w:rPr>
        <w:t>不超过2年</w:t>
      </w:r>
    </w:p>
    <w:p w14:paraId="3CB05C7E">
      <w:pPr>
        <w:pStyle w:val="3"/>
        <w:spacing w:before="47" w:line="560" w:lineRule="exact"/>
        <w:ind w:right="19"/>
        <w:jc w:val="both"/>
        <w:rPr>
          <w:rFonts w:hint="eastAsia" w:ascii="仿宋_GB2312" w:hAnsi="仿宋_GB2312" w:eastAsia="仿宋_GB2312" w:cs="仿宋_GB2312"/>
          <w:b w:val="0"/>
          <w:bCs w:val="0"/>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b w:val="0"/>
          <w:bCs w:val="0"/>
          <w:spacing w:val="8"/>
          <w:sz w:val="32"/>
          <w:szCs w:val="32"/>
          <w:lang w:eastAsia="zh-CN"/>
        </w:rPr>
        <w:t>不超过50万元</w:t>
      </w:r>
    </w:p>
    <w:p w14:paraId="6345CA9C">
      <w:pPr>
        <w:pStyle w:val="3"/>
        <w:spacing w:before="47" w:line="560" w:lineRule="exact"/>
        <w:ind w:right="19"/>
        <w:rPr>
          <w:rFonts w:hint="eastAsia" w:ascii="仿宋_GB2312" w:hAnsi="仿宋_GB2312" w:eastAsia="仿宋_GB2312" w:cs="仿宋_GB2312"/>
          <w:sz w:val="32"/>
          <w:szCs w:val="32"/>
          <w:lang w:eastAsia="zh-CN"/>
        </w:rPr>
      </w:pPr>
    </w:p>
    <w:sectPr>
      <w:pgSz w:w="11907" w:h="16839"/>
      <w:pgMar w:top="2211" w:right="1474" w:bottom="1871"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B35F3D"/>
    <w:rsid w:val="00006DFC"/>
    <w:rsid w:val="00013B3F"/>
    <w:rsid w:val="000251F2"/>
    <w:rsid w:val="00070180"/>
    <w:rsid w:val="000A32BA"/>
    <w:rsid w:val="000B6E70"/>
    <w:rsid w:val="000C42AA"/>
    <w:rsid w:val="000F3A13"/>
    <w:rsid w:val="0012225F"/>
    <w:rsid w:val="001366EE"/>
    <w:rsid w:val="001376E8"/>
    <w:rsid w:val="00137D38"/>
    <w:rsid w:val="00143FBD"/>
    <w:rsid w:val="0018163F"/>
    <w:rsid w:val="001A37A7"/>
    <w:rsid w:val="001B5FCD"/>
    <w:rsid w:val="001D25E0"/>
    <w:rsid w:val="001F6461"/>
    <w:rsid w:val="00233215"/>
    <w:rsid w:val="00247F50"/>
    <w:rsid w:val="00264255"/>
    <w:rsid w:val="002858FD"/>
    <w:rsid w:val="002C2253"/>
    <w:rsid w:val="00331212"/>
    <w:rsid w:val="003607C7"/>
    <w:rsid w:val="0039056C"/>
    <w:rsid w:val="0039111E"/>
    <w:rsid w:val="003A3F6F"/>
    <w:rsid w:val="004076AE"/>
    <w:rsid w:val="004136A6"/>
    <w:rsid w:val="004261C9"/>
    <w:rsid w:val="00483C33"/>
    <w:rsid w:val="004B2DBE"/>
    <w:rsid w:val="004B5697"/>
    <w:rsid w:val="004C657A"/>
    <w:rsid w:val="00527FC2"/>
    <w:rsid w:val="00531B2D"/>
    <w:rsid w:val="00564DC3"/>
    <w:rsid w:val="00571A19"/>
    <w:rsid w:val="005A3D96"/>
    <w:rsid w:val="005E05BC"/>
    <w:rsid w:val="005E3904"/>
    <w:rsid w:val="005F4F4B"/>
    <w:rsid w:val="00613221"/>
    <w:rsid w:val="00637CB6"/>
    <w:rsid w:val="006B0C42"/>
    <w:rsid w:val="006C01FE"/>
    <w:rsid w:val="006E1B8D"/>
    <w:rsid w:val="00710394"/>
    <w:rsid w:val="00712860"/>
    <w:rsid w:val="007414D1"/>
    <w:rsid w:val="00742C2A"/>
    <w:rsid w:val="00785360"/>
    <w:rsid w:val="00790220"/>
    <w:rsid w:val="007A0BFB"/>
    <w:rsid w:val="007B5FDB"/>
    <w:rsid w:val="007C1556"/>
    <w:rsid w:val="007E0BC3"/>
    <w:rsid w:val="007E218D"/>
    <w:rsid w:val="00801623"/>
    <w:rsid w:val="008041FB"/>
    <w:rsid w:val="008219CC"/>
    <w:rsid w:val="00825A91"/>
    <w:rsid w:val="00847A32"/>
    <w:rsid w:val="0085197F"/>
    <w:rsid w:val="00855B4A"/>
    <w:rsid w:val="008A7DF1"/>
    <w:rsid w:val="008D762F"/>
    <w:rsid w:val="00913573"/>
    <w:rsid w:val="009411EB"/>
    <w:rsid w:val="00942C1D"/>
    <w:rsid w:val="009A51CC"/>
    <w:rsid w:val="009A5266"/>
    <w:rsid w:val="009A6751"/>
    <w:rsid w:val="009E14DB"/>
    <w:rsid w:val="00A3174A"/>
    <w:rsid w:val="00A32B73"/>
    <w:rsid w:val="00A51C70"/>
    <w:rsid w:val="00A53A28"/>
    <w:rsid w:val="00A66A1F"/>
    <w:rsid w:val="00A92EFC"/>
    <w:rsid w:val="00AF7FCE"/>
    <w:rsid w:val="00B023BD"/>
    <w:rsid w:val="00B114F2"/>
    <w:rsid w:val="00B30856"/>
    <w:rsid w:val="00B35F3D"/>
    <w:rsid w:val="00B71E52"/>
    <w:rsid w:val="00B808AF"/>
    <w:rsid w:val="00BD120F"/>
    <w:rsid w:val="00C44614"/>
    <w:rsid w:val="00C52EDC"/>
    <w:rsid w:val="00C551BF"/>
    <w:rsid w:val="00D20AC5"/>
    <w:rsid w:val="00D233AD"/>
    <w:rsid w:val="00D25832"/>
    <w:rsid w:val="00D31972"/>
    <w:rsid w:val="00D602C8"/>
    <w:rsid w:val="00D65372"/>
    <w:rsid w:val="00DA44A8"/>
    <w:rsid w:val="00DA4881"/>
    <w:rsid w:val="00DA6361"/>
    <w:rsid w:val="00E500EB"/>
    <w:rsid w:val="00E601DE"/>
    <w:rsid w:val="00EA1EE5"/>
    <w:rsid w:val="00EA5A5C"/>
    <w:rsid w:val="00EC423E"/>
    <w:rsid w:val="00EC6C91"/>
    <w:rsid w:val="00EC6FFA"/>
    <w:rsid w:val="00F00195"/>
    <w:rsid w:val="00F010C1"/>
    <w:rsid w:val="00F0705E"/>
    <w:rsid w:val="00F24A0A"/>
    <w:rsid w:val="00F32FD6"/>
    <w:rsid w:val="00F44032"/>
    <w:rsid w:val="00F71B7D"/>
    <w:rsid w:val="00F7282D"/>
    <w:rsid w:val="00F92335"/>
    <w:rsid w:val="00F93E4E"/>
    <w:rsid w:val="00FC782C"/>
    <w:rsid w:val="00FC7A7E"/>
    <w:rsid w:val="04891622"/>
    <w:rsid w:val="065C4EFE"/>
    <w:rsid w:val="0AB02221"/>
    <w:rsid w:val="31BE0075"/>
    <w:rsid w:val="550F5D1A"/>
    <w:rsid w:val="595147F0"/>
    <w:rsid w:val="782C2250"/>
    <w:rsid w:val="7A2E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Body Text"/>
    <w:basedOn w:val="1"/>
    <w:link w:val="11"/>
    <w:semiHidden/>
    <w:qFormat/>
    <w:uiPriority w:val="0"/>
    <w:rPr>
      <w:rFonts w:ascii="仿宋" w:hAnsi="仿宋" w:eastAsia="仿宋" w:cs="仿宋"/>
      <w:sz w:val="31"/>
      <w:szCs w:val="31"/>
    </w:rPr>
  </w:style>
  <w:style w:type="paragraph" w:styleId="4">
    <w:name w:val="Plain Text"/>
    <w:basedOn w:val="1"/>
    <w:link w:val="15"/>
    <w:qFormat/>
    <w:uiPriority w:val="0"/>
    <w:pPr>
      <w:widowControl w:val="0"/>
      <w:jc w:val="both"/>
    </w:pPr>
    <w:rPr>
      <w:rFonts w:ascii="宋体" w:hAnsi="Courier New" w:cs="Courier New"/>
    </w:rPr>
  </w:style>
  <w:style w:type="paragraph" w:styleId="5">
    <w:name w:val="Balloon Text"/>
    <w:basedOn w:val="1"/>
    <w:link w:val="14"/>
    <w:semiHidden/>
    <w:unhideWhenUsed/>
    <w:uiPriority w:val="99"/>
    <w:rPr>
      <w:sz w:val="18"/>
      <w:szCs w:val="18"/>
    </w:rPr>
  </w:style>
  <w:style w:type="character" w:styleId="8">
    <w:name w:val="Hyperlink"/>
    <w:basedOn w:val="7"/>
    <w:semiHidden/>
    <w:unhideWhenUsed/>
    <w:uiPriority w:val="99"/>
    <w:rPr>
      <w:color w:val="0000FF"/>
      <w:u w:val="single"/>
    </w:rPr>
  </w:style>
  <w:style w:type="character" w:styleId="9">
    <w:name w:val="annotation reference"/>
    <w:basedOn w:val="7"/>
    <w:semiHidden/>
    <w:unhideWhenUsed/>
    <w:uiPriority w:val="99"/>
    <w:rPr>
      <w:sz w:val="21"/>
      <w:szCs w:val="21"/>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正文文本 字符"/>
    <w:basedOn w:val="7"/>
    <w:link w:val="3"/>
    <w:semiHidden/>
    <w:uiPriority w:val="0"/>
    <w:rPr>
      <w:rFonts w:ascii="仿宋" w:hAnsi="仿宋" w:eastAsia="仿宋" w:cs="仿宋"/>
      <w:sz w:val="31"/>
      <w:szCs w:val="31"/>
    </w:rPr>
  </w:style>
  <w:style w:type="paragraph" w:customStyle="1" w:styleId="12">
    <w:name w:val="列表段落1"/>
    <w:basedOn w:val="1"/>
    <w:qFormat/>
    <w:uiPriority w:val="0"/>
    <w:pPr>
      <w:widowControl w:val="0"/>
      <w:kinsoku/>
      <w:autoSpaceDE/>
      <w:autoSpaceDN/>
      <w:adjustRightInd/>
      <w:snapToGrid/>
      <w:ind w:firstLine="420" w:firstLineChars="200"/>
      <w:jc w:val="both"/>
      <w:textAlignment w:val="auto"/>
    </w:pPr>
    <w:rPr>
      <w:rFonts w:ascii="等线" w:hAnsi="等线" w:eastAsia="等线" w:cs="Times New Roman"/>
      <w:snapToGrid/>
      <w:color w:val="auto"/>
      <w:kern w:val="2"/>
      <w:lang w:eastAsia="zh-CN"/>
    </w:rPr>
  </w:style>
  <w:style w:type="paragraph" w:styleId="13">
    <w:name w:val="List Paragraph"/>
    <w:basedOn w:val="1"/>
    <w:qFormat/>
    <w:uiPriority w:val="34"/>
    <w:pPr>
      <w:widowControl w:val="0"/>
      <w:ind w:firstLine="420"/>
      <w:jc w:val="both"/>
    </w:pPr>
    <w:rPr>
      <w:rFonts w:asciiTheme="minorHAnsi" w:hAnsiTheme="minorHAnsi" w:cstheme="minorBidi"/>
      <w:kern w:val="2"/>
      <w:szCs w:val="22"/>
    </w:rPr>
  </w:style>
  <w:style w:type="character" w:customStyle="1" w:styleId="14">
    <w:name w:val="批注框文本 字符"/>
    <w:basedOn w:val="7"/>
    <w:link w:val="5"/>
    <w:semiHidden/>
    <w:qFormat/>
    <w:uiPriority w:val="99"/>
    <w:rPr>
      <w:snapToGrid w:val="0"/>
      <w:color w:val="000000"/>
      <w:sz w:val="18"/>
      <w:szCs w:val="18"/>
      <w:lang w:eastAsia="en-US"/>
    </w:rPr>
  </w:style>
  <w:style w:type="character" w:customStyle="1" w:styleId="15">
    <w:name w:val="纯文本 字符"/>
    <w:basedOn w:val="7"/>
    <w:link w:val="4"/>
    <w:qFormat/>
    <w:uiPriority w:val="0"/>
    <w:rPr>
      <w:rFonts w:ascii="宋体" w:hAnsi="Courier New" w:cs="Courier New"/>
      <w:snapToGrid w:val="0"/>
      <w:color w:val="000000"/>
      <w:sz w:val="21"/>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4883</Words>
  <Characters>5160</Characters>
  <Lines>52</Lines>
  <Paragraphs>14</Paragraphs>
  <TotalTime>41</TotalTime>
  <ScaleCrop>false</ScaleCrop>
  <LinksUpToDate>false</LinksUpToDate>
  <CharactersWithSpaces>5176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2023-12-18T16:39:00Z</dcterms:created>
  <dc:creator>Long Li</dc:creator>
  <cp:lastModifiedBy>Elfinsword、</cp:lastModifiedBy>
  <cp:lastPrinted>2025-09-04T01:18:00Z</cp:lastPrinted>
  <dcterms:modified xsi:type="dcterms:W3CDTF">2025-09-04T01:48:59Z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2024-12-04T09:37:30Z</vt:filetime>
  </property>
  <property fmtid="{D5CDD505-2E9C-101B-9397-08002B2CF9AE}" pid="4" name="KSOTemplateDocerSaveRecord">
    <vt:lpwstr>eyJoZGlkIjoiNjU3NzY3ZDVhNmYxZDhkNDQ2NTlmZDhiM2QxMGFlODAiLCJ1c2VySWQiOiIzNTE1MjMxMzUifQ==</vt:lpwstr>
  </property>
  <property fmtid="{D5CDD505-2E9C-101B-9397-08002B2CF9AE}" pid="5" name="KSOProductBuildVer">
    <vt:lpwstr>2052-12.1.0.22529</vt:lpwstr>
  </property>
  <property fmtid="{D5CDD505-2E9C-101B-9397-08002B2CF9AE}" pid="6" name="ICV">
    <vt:lpwstr>345FF75C55434822BFDF6A8825B542C5_13</vt:lpwstr>
  </property>
</Properties>
</file>